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Rekenkamercommissie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Definitief onderzoeksrapport Wordt vervolgd februari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943,41 KB</text:p>
          </table:table-cell>
          <table:table-cell table:style-name="Table3.A2" office:value-type="string">
            <text:p text:style-name="P22">
              <text:a xlink:type="simple" xlink:href="https://raad.renkum.nl/Documenten/Rekenkamercommissie/Definitief-onderzoeksrapport-Wordt-vervolgd-februari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RKC Onderzoeksprogramma 2016 (def).pdf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101,50 KB</text:p>
          </table:table-cell>
          <table:table-cell table:style-name="Table3.A2" office:value-type="string">
            <text:p text:style-name="P22">
              <text:a xlink:type="simple" xlink:href="https://raad.renkum.nl/Vergaderingen/Agendacommissie/2016/24-februari/09:00/Ingekomen-stukken-commissie-Bedrijvigheid/RKC-Onderzoeksprogramma-2016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80" meta:non-whitespace-character-count="2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