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PRD mbt leegstandverordening.pdf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383,86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RD-mbt-leegstand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CDA-PRD mbt mantelzorgers irt kostendelersnorm.pdf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443,29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CDA-PRD-mbt-mantelzorgers-irt-kostendelersnor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PRD-PvdA-RZS mbt APV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634,78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PRD-PvdA-RZS-mbt-APV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GB-CDA-D66-VVD-GL-PRD-PvdA-RZS mbt jongerenraad.pdf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963,97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GB-CDA-D66-VVD-GL-PRD-PvdA-RZS-mbt-jongeren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PvdA-GL-CDA-D66-VVD-GB-PRD-RZS mbt taakstelling raadsbudget.pdf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vdA-GL-CDA-D66-VVD-GB-PRD-RZS-mbt-taakstelling-raadsbudg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PRD mbt vervroegen bijstandsuitkering.pdf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RD-mbt-vervroegen-bijstandsuitke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PRD mbt evaluatie sociale activering.pdf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396,28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RD-mbt-evaluatie-sociale-act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PRD-VVD-GB mbt fietspad Reyerscamp Wolfheze.pdf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360,08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RD-VVD-GB-mbt-fietspad-Reyerscamp-Wolfhez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D66-GL-GB-VVD mbt verbeteren groenonderhoud.pdf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823,73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D66-GL-GB-VVD-mbt-verbeteren-groenonderhou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D66-GL-GB-VVD mbt taakstellingen.pdf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410,82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D66-GL-GB-VVD-mbt-taakstel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CDA-GB-VVD mbt openstelling loket burgerzaken.pdf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349,53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CDA-GB-VVD-mbt-openstelling-loket-burgerza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42" meta:character-count="1027" meta:non-whitespace-character-count="9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