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PRD mbt leegstandverordening.pdf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383,86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leegstand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CDA-PRD mbt mantelzorgers irt kostendelersnorm.pdf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PRD-mbt-mantelzorgers-irt-kostendelersnor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PRD-PvdA-RZS mbt APV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RD-PvdA-RZS-mbt-APV-201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GB-CDA-D66-VVD-GL-PRD-PvdA-RZS mbt jongerenraad.pdf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B-CDA-D66-VVD-GL-PRD-PvdA-RZS-mbt-jongerenra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PvdA-GL-CDA-D66-VVD-GB-PRD-RZS mbt taakstelling raadsbudget.pdf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vdA-GL-CDA-D66-VVD-GB-PRD-RZS-mbt-taakstelling-raadsbudg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PRD mbt vervroegen bijstandsuitkering.pdf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vervroegen-bijstandsuitk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PRD mbt evaluatie sociale activering.pdf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mbt-evaluatie-sociale-act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PRD-VVD-GB mbt fietspad Reyerscamp Wolfheze.pdf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PRD-VVD-GB-mbt-fietspad-Reyerscamp-Wolfhez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D66-GL-GB-VVD mbt verbeteren groenonderhoud.pdf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823,73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verbeteren-groenonderhou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D66-GL-GB-VVD mbt taakstellingen.pdf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410,82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D66-GL-GB-VVD-mbt-taak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CDA-GB-VVD mbt openstelling loket burgerzaken.pdf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CDA-GB-VVD-mbt-openstelling-loket-burgerz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42" meta:character-count="1027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